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Style w:val="3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9F6ED"/>
          <w:lang w:val="en-US" w:eastAsia="zh-CN" w:bidi="ar"/>
        </w:rPr>
        <w:t>教学科研岗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9F6ED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9F6ED"/>
          <w:lang w:val="en-US" w:eastAsia="zh-CN" w:bidi="ar"/>
        </w:rPr>
        <w:t>教学科研岗招聘对象为海内外应届博士毕业生及出站博士后，入职后为讲师（中级职称），承担教学和科研任务。2018年教学科研岗招聘计划如下：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9F6ED"/>
          <w:lang w:val="en-US" w:eastAsia="zh-CN" w:bidi="ar"/>
        </w:rPr>
        <w:t> </w:t>
      </w:r>
    </w:p>
    <w:tbl>
      <w:tblPr>
        <w:tblW w:w="9389" w:type="dxa"/>
        <w:jc w:val="center"/>
        <w:tblInd w:w="-43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72"/>
        <w:gridCol w:w="1074"/>
        <w:gridCol w:w="1239"/>
        <w:gridCol w:w="430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2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或专业方向</w:t>
            </w:r>
          </w:p>
        </w:tc>
        <w:tc>
          <w:tcPr>
            <w:tcW w:w="1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ascii="Arial" w:hAnsi="Arial" w:eastAsia="宋体" w:cs="Arial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条件</w:t>
            </w:r>
          </w:p>
        </w:tc>
        <w:tc>
          <w:tcPr>
            <w:tcW w:w="12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来源</w:t>
            </w:r>
          </w:p>
        </w:tc>
        <w:tc>
          <w:tcPr>
            <w:tcW w:w="43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2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医学或医学人文相关专业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博士后、博士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海内外著名高校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本科为医学相关专业、研究生为医学人文相关专业者优先，系统学习过医学相关课程者、具有海外学习和研究资历者优先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2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食品科学相关专业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海内外著名高校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天津市食品科学与健康重点实验室教学科研岗位。具备食品安全检测、食品加工和食品营养学及相关研究经历者优先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分析化学、材料化学、生物化学及分子生物学相关专业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海内外著名高校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天津市食品科学与健康重点实验室教学科研岗位。具有纳米科学、生物传感与医学成像、分子生物学或免疫学等相关研究经历者优先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2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病原生物学相关专业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海内外著名高校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系统学习过医学相关课程者、具有海外学习和研究资历者优先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2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病理生理学相关专业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海内外著名高校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系统学习过医学相关课程者、具有海外学习和研究资历者优先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2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医学心理学相关专业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海内外著名高校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系统学习过医学相关课程者、具有海外学习和研究资历者优先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解剖学相关专业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海内外著名高校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系统学习过医学相关课程者、具有海外学习和研究资历者优先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组织病理学相关专业（口腔组织病理学）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海内外著名高校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系统学习过口腔医学相关课程者、具有海外学习和研究资历者优先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2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解剖学相关专业（口腔解剖生理学）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海内外著名高校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系统学习过口腔医学相关课程者、具有海外学习和研究资历者优先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9F6ED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428EB"/>
    <w:rsid w:val="2F5428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2018-03-16T06:40:00Z</dcterms:created>
  <dc:creator>ASUS</dc:creator>
  <cp:lastModifiedBy>ASUS</cp:lastModifiedBy>
  <dcterms:modified xsi:type="dcterms:W3CDTF">2018-03-16T06:40:38Z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