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宋体" w:hAnsi="宋体" w:eastAsia="宋体" w:cs="Arial"/>
          <w:kern w:val="0"/>
          <w:sz w:val="30"/>
          <w:szCs w:val="30"/>
          <w:shd w:val="clear" w:fill="FFFFFF"/>
          <w:lang w:val="en-US" w:eastAsia="zh-CN" w:bidi="ar"/>
        </w:rPr>
        <w:t>2016年天津理工大学公开招聘拟聘用人员公示表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155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毕业院校或   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中科院长春应化所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新能源材料与低碳技术研究院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1985-08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机械工程（化学能源电池）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美国南卡罗来纳大学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新能源材料与低碳技术研究院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朱荣妹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德国哥廷根大学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新能源材料与低碳技术研究院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韩丽丽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新能源材料与低碳技术研究院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鲁艳蓉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1985-07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密码学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1983-11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物理学（视觉方向）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法国里昂高等师范学校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宋彬彬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1984-07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郭凌云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高娈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李望良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1978-09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中科院过程工程所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1983-07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纳米技术与分子科学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澳大利亚昆士兰科技大学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1983-02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1983-06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环安学院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14-2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龚跃政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644C7"/>
    <w:rsid w:val="79364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2017-01-12T04:58:00Z</dcterms:created>
  <dc:creator>ASUS</dc:creator>
  <cp:lastModifiedBy>ASUS</cp:lastModifiedBy>
  <dcterms:modified xsi:type="dcterms:W3CDTF">2017-01-12T04:58:35Z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